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33" w:rsidRPr="00BB3E33" w:rsidRDefault="00BB3E33" w:rsidP="00BB3E33">
      <w:pPr>
        <w:spacing w:after="0"/>
        <w:jc w:val="center"/>
        <w:rPr>
          <w:rFonts w:ascii="Times New Roman" w:hAnsi="Times New Roman" w:cs="Times New Roman"/>
          <w:b/>
          <w:sz w:val="24"/>
        </w:rPr>
      </w:pPr>
      <w:r w:rsidRPr="00BB3E33">
        <w:rPr>
          <w:rFonts w:ascii="Times New Roman" w:hAnsi="Times New Roman" w:cs="Times New Roman"/>
          <w:b/>
          <w:sz w:val="24"/>
        </w:rPr>
        <w:t>Г</w:t>
      </w:r>
      <w:r w:rsidRPr="00BB3E33">
        <w:rPr>
          <w:rFonts w:ascii="Times New Roman" w:hAnsi="Times New Roman" w:cs="Times New Roman"/>
          <w:b/>
          <w:sz w:val="24"/>
        </w:rPr>
        <w:t xml:space="preserve">осударственный инспектор </w:t>
      </w:r>
    </w:p>
    <w:p w:rsidR="00BB3E33" w:rsidRDefault="00BB3E33" w:rsidP="00BB3E33">
      <w:pPr>
        <w:spacing w:after="0"/>
        <w:jc w:val="center"/>
        <w:rPr>
          <w:rFonts w:ascii="Times New Roman" w:hAnsi="Times New Roman" w:cs="Times New Roman"/>
          <w:b/>
          <w:sz w:val="24"/>
        </w:rPr>
      </w:pPr>
      <w:r w:rsidRPr="00BB3E33">
        <w:rPr>
          <w:rFonts w:ascii="Times New Roman" w:hAnsi="Times New Roman" w:cs="Times New Roman"/>
          <w:b/>
          <w:sz w:val="24"/>
        </w:rPr>
        <w:t>отдела общепромышленного и государственного строительного надзора</w:t>
      </w:r>
    </w:p>
    <w:p w:rsidR="00BB3E33" w:rsidRPr="00BB3E33" w:rsidRDefault="00BB3E33" w:rsidP="00BB3E33">
      <w:pPr>
        <w:spacing w:after="0"/>
        <w:jc w:val="center"/>
        <w:rPr>
          <w:rFonts w:ascii="Times New Roman" w:hAnsi="Times New Roman" w:cs="Times New Roman"/>
          <w:b/>
          <w:sz w:val="24"/>
        </w:rPr>
      </w:pPr>
    </w:p>
    <w:tbl>
      <w:tblPr>
        <w:tblW w:w="100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6"/>
        <w:gridCol w:w="7229"/>
      </w:tblGrid>
      <w:tr w:rsidR="00BB3E33" w:rsidRPr="00BB3E33" w:rsidTr="00217E3F">
        <w:tc>
          <w:tcPr>
            <w:tcW w:w="10065" w:type="dxa"/>
            <w:gridSpan w:val="2"/>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К претенденту на замещение вакантной должности государственной гражданской службы </w:t>
            </w:r>
            <w:r w:rsidRPr="00BB3E33">
              <w:rPr>
                <w:rFonts w:ascii="Times New Roman" w:hAnsi="Times New Roman" w:cs="Times New Roman"/>
                <w:b/>
                <w:bCs/>
                <w:sz w:val="24"/>
              </w:rPr>
              <w:t xml:space="preserve"> государственного инспектора </w:t>
            </w:r>
            <w:r w:rsidRPr="00BB3E33">
              <w:rPr>
                <w:rFonts w:ascii="Times New Roman" w:hAnsi="Times New Roman" w:cs="Times New Roman"/>
                <w:b/>
                <w:sz w:val="24"/>
              </w:rPr>
              <w:t>отдела общепромышленного и государственного строительного надзора</w:t>
            </w:r>
            <w:r w:rsidRPr="00BB3E33">
              <w:rPr>
                <w:rFonts w:ascii="Times New Roman" w:hAnsi="Times New Roman" w:cs="Times New Roman"/>
                <w:b/>
                <w:bCs/>
                <w:sz w:val="24"/>
              </w:rPr>
              <w:t> </w:t>
            </w:r>
            <w:r w:rsidRPr="00BB3E33">
              <w:rPr>
                <w:rFonts w:ascii="Times New Roman" w:hAnsi="Times New Roman" w:cs="Times New Roman"/>
                <w:sz w:val="24"/>
              </w:rPr>
              <w:t>предъявляются следующие квалификационные требования:</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t>Уровень профессионального образования по специальностям, направлениям подготовки (укрупненным группам специальностей и направлений подготовки)</w:t>
            </w:r>
          </w:p>
        </w:tc>
        <w:tc>
          <w:tcPr>
            <w:tcW w:w="7229"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Pr>
                <w:rFonts w:ascii="Times New Roman" w:hAnsi="Times New Roman" w:cs="Times New Roman"/>
                <w:sz w:val="24"/>
              </w:rPr>
              <w:t xml:space="preserve">Высшее образование </w:t>
            </w:r>
            <w:r w:rsidRPr="00BB3E33">
              <w:rPr>
                <w:rFonts w:ascii="Times New Roman" w:hAnsi="Times New Roman" w:cs="Times New Roman"/>
                <w:sz w:val="24"/>
              </w:rPr>
              <w:t>не ниже уровня бакалавриата по направлениям подготовки (специальностям) профессионального образования</w:t>
            </w:r>
            <w:r>
              <w:rPr>
                <w:rFonts w:ascii="Times New Roman" w:hAnsi="Times New Roman" w:cs="Times New Roman"/>
                <w:sz w:val="24"/>
              </w:rPr>
              <w:t xml:space="preserve">: </w:t>
            </w:r>
            <w:proofErr w:type="gramStart"/>
            <w:r w:rsidRPr="00BB3E33">
              <w:rPr>
                <w:rFonts w:ascii="Times New Roman" w:hAnsi="Times New Roman" w:cs="Times New Roman"/>
                <w:sz w:val="24"/>
              </w:rPr>
              <w:t>«</w:t>
            </w:r>
            <w:proofErr w:type="spellStart"/>
            <w:r w:rsidRPr="00BB3E33">
              <w:rPr>
                <w:rFonts w:ascii="Times New Roman" w:hAnsi="Times New Roman" w:cs="Times New Roman"/>
                <w:sz w:val="24"/>
              </w:rPr>
              <w:t>Техносферная</w:t>
            </w:r>
            <w:proofErr w:type="spellEnd"/>
            <w:r w:rsidRPr="00BB3E33">
              <w:rPr>
                <w:rFonts w:ascii="Times New Roman" w:hAnsi="Times New Roman" w:cs="Times New Roman"/>
                <w:sz w:val="24"/>
              </w:rPr>
              <w:t xml:space="preserve"> безопасность», «Юриспруденция», «Государственное и муниципальное управление», «Менеджмент», «Архитектура», «Строительство», «Градостроительство», «Экология и природопользование» «Строительство уникальных зданий и сооружений», «Строительство железных дорог, мостов и транспортных тоннелей», «Строительство, эксплуатация, восстановление и техническое прикрытие автомобильных дорог, мостов и тоннелей», «Строительство и эксплуатация зданий и сооружений» или иные специальности и направления подготовки, содержащиеся в ранее применяемых перечнях специальностей и направлений подготовки, для которых</w:t>
            </w:r>
            <w:proofErr w:type="gramEnd"/>
            <w:r w:rsidRPr="00BB3E33">
              <w:rPr>
                <w:rFonts w:ascii="Times New Roman" w:hAnsi="Times New Roman" w:cs="Times New Roman"/>
                <w:sz w:val="24"/>
              </w:rPr>
              <w:t xml:space="preserve"> законодательством об образовании Российской Федерации установлено соответствие указанным специальностям и направлениям подготовки.</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t>Стаж гражданской службы или стаж работы по специальности, направлению подготовки</w:t>
            </w:r>
          </w:p>
        </w:tc>
        <w:tc>
          <w:tcPr>
            <w:tcW w:w="7229"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Без предъявления требований к стажу гражданской службы или стажу работы по специальности, направлению подготовки</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t>Знания и умения</w:t>
            </w:r>
          </w:p>
        </w:tc>
        <w:tc>
          <w:tcPr>
            <w:tcW w:w="7229" w:type="dxa"/>
            <w:shd w:val="clear" w:color="auto" w:fill="FFFFFF"/>
            <w:tcMar>
              <w:top w:w="150" w:type="dxa"/>
              <w:left w:w="180" w:type="dxa"/>
              <w:bottom w:w="150" w:type="dxa"/>
              <w:right w:w="180" w:type="dxa"/>
            </w:tcMar>
            <w:hideMark/>
          </w:tcPr>
          <w:p w:rsidR="00BB3E33" w:rsidRPr="00D07DDD" w:rsidRDefault="00BB3E33" w:rsidP="00217E3F">
            <w:pPr>
              <w:spacing w:after="0" w:line="240" w:lineRule="auto"/>
              <w:jc w:val="both"/>
              <w:rPr>
                <w:rFonts w:ascii="Times New Roman" w:hAnsi="Times New Roman" w:cs="Times New Roman"/>
                <w:b/>
                <w:sz w:val="24"/>
              </w:rPr>
            </w:pPr>
            <w:hyperlink r:id="rId5" w:history="1">
              <w:r w:rsidRPr="00D07DDD">
                <w:rPr>
                  <w:rFonts w:ascii="Times New Roman" w:hAnsi="Times New Roman" w:cs="Times New Roman"/>
                  <w:b/>
                  <w:sz w:val="24"/>
                  <w:u w:val="single"/>
                </w:rPr>
                <w:t>Базовые знания и умения</w:t>
              </w:r>
            </w:hyperlink>
            <w:r w:rsidR="00D07DDD" w:rsidRPr="00D07DDD">
              <w:rPr>
                <w:rFonts w:ascii="Times New Roman" w:hAnsi="Times New Roman" w:cs="Times New Roman"/>
                <w:b/>
                <w:sz w:val="24"/>
              </w:rPr>
              <w:t>:</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государственного языка Российской Федерации (русского языка);</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основ Конституции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законодательства о государственной гражданской службе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законодательства Российской Федерации о противодействии коррупции;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знания в области информационно-коммуникационных технологий;</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основных положений законодательства о персональных данных;</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общих принципов функционирования системы электронного документооборота;</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основных положений законодательства об электронной подписи;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умение соблюдать этику делового общения;</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умение планировать и рационально использовать рабочее время;</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коммуникативные умения;</w:t>
            </w:r>
          </w:p>
          <w:p w:rsid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умение совершенствовать свой профессиональный уровень.</w:t>
            </w:r>
          </w:p>
          <w:p w:rsidR="00D07DDD" w:rsidRDefault="00D07DDD" w:rsidP="00217E3F">
            <w:pPr>
              <w:spacing w:after="0" w:line="240" w:lineRule="auto"/>
              <w:jc w:val="both"/>
              <w:rPr>
                <w:rFonts w:ascii="Times New Roman" w:hAnsi="Times New Roman" w:cs="Times New Roman"/>
                <w:sz w:val="24"/>
              </w:rPr>
            </w:pPr>
          </w:p>
          <w:p w:rsidR="00D07DDD" w:rsidRPr="00BB3E33" w:rsidRDefault="00D07DDD" w:rsidP="00217E3F">
            <w:pPr>
              <w:spacing w:after="0" w:line="240" w:lineRule="auto"/>
              <w:jc w:val="both"/>
              <w:rPr>
                <w:rFonts w:ascii="Times New Roman" w:hAnsi="Times New Roman" w:cs="Times New Roman"/>
                <w:sz w:val="24"/>
              </w:rPr>
            </w:pPr>
          </w:p>
          <w:p w:rsidR="00BB3E33" w:rsidRPr="00D07DDD" w:rsidRDefault="00BB3E33" w:rsidP="00217E3F">
            <w:pPr>
              <w:spacing w:after="0" w:line="240" w:lineRule="auto"/>
              <w:jc w:val="both"/>
              <w:rPr>
                <w:rFonts w:ascii="Times New Roman" w:hAnsi="Times New Roman" w:cs="Times New Roman"/>
                <w:b/>
                <w:sz w:val="24"/>
              </w:rPr>
            </w:pPr>
            <w:hyperlink r:id="rId6" w:history="1">
              <w:r w:rsidRPr="00D07DDD">
                <w:rPr>
                  <w:rFonts w:ascii="Times New Roman" w:hAnsi="Times New Roman" w:cs="Times New Roman"/>
                  <w:b/>
                  <w:sz w:val="24"/>
                  <w:u w:val="single"/>
                </w:rPr>
                <w:t>Профессиональные знания и умения</w:t>
              </w:r>
            </w:hyperlink>
          </w:p>
          <w:p w:rsidR="00D07DDD" w:rsidRDefault="00D07DDD" w:rsidP="00217E3F">
            <w:pPr>
              <w:spacing w:after="0" w:line="240" w:lineRule="auto"/>
              <w:jc w:val="both"/>
              <w:rPr>
                <w:rFonts w:ascii="Times New Roman" w:hAnsi="Times New Roman" w:cs="Times New Roman"/>
                <w:sz w:val="24"/>
              </w:rPr>
            </w:pPr>
          </w:p>
          <w:p w:rsidR="00D07DDD" w:rsidRPr="00D07DDD" w:rsidRDefault="008F6509" w:rsidP="00217E3F">
            <w:pPr>
              <w:spacing w:after="0" w:line="240" w:lineRule="auto"/>
              <w:jc w:val="both"/>
              <w:rPr>
                <w:rFonts w:ascii="Times New Roman" w:hAnsi="Times New Roman" w:cs="Times New Roman"/>
                <w:sz w:val="24"/>
              </w:rPr>
            </w:pPr>
            <w:r>
              <w:rPr>
                <w:rFonts w:ascii="Times New Roman" w:hAnsi="Times New Roman" w:cs="Times New Roman"/>
                <w:sz w:val="24"/>
              </w:rPr>
              <w:t>- З</w:t>
            </w:r>
            <w:r w:rsidR="00D07DDD" w:rsidRPr="00D07DDD">
              <w:rPr>
                <w:rFonts w:ascii="Times New Roman" w:hAnsi="Times New Roman" w:cs="Times New Roman"/>
                <w:sz w:val="24"/>
              </w:rPr>
              <w:t>нание следующих нормативно-правовых актов:</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1) 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2) Федеральный закон от 2 мая 2006 г. № 59-ФЗ «О порядке рассмотрения обращений граждан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3) Указ Президента Российской Федерации от 11 января 1995 г. № 32 «О государственных должностях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4) Указ Президента Российской Федерации от 9 марта 2004 г. № 314 «О системе и структуре федеральных органов исполнительной власти»;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5) 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6) 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7) Указ Президента Российской Федерации от 27 сентября 2005 г.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8) Указ Президента Российской Федерации от 31 декабря 2005 г. № 1574 «О Реестре должностей федеральной государственной гражданской службы»;</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9) Указ Президента Российской Федерации от 25 июля 2006 г. № 763 «О денежном содержании федеральных государственных гражданских служащих»;</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10) Указ Президента Российской Федерации от 7 мая 2012 № 601 «Об основных направлениях совершенствования системы государственного управления»;</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11) Федеральный закон от 6 марта 2006 г. № 35-ФЗ «О противодействии терроризму»;</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2)</w:t>
            </w:r>
            <w:r w:rsidRPr="00D07DDD">
              <w:rPr>
                <w:rFonts w:ascii="Times New Roman" w:hAnsi="Times New Roman" w:cs="Times New Roman"/>
                <w:sz w:val="24"/>
              </w:rPr>
              <w:tab/>
              <w:t>Федеральный закон от 21 июля 2011 г. № 256-ФЗ «О безопасности объектов топливно-энергетического комплекса»;</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3)</w:t>
            </w:r>
            <w:r w:rsidRPr="00D07DDD">
              <w:rPr>
                <w:rFonts w:ascii="Times New Roman" w:hAnsi="Times New Roman" w:cs="Times New Roman"/>
                <w:sz w:val="24"/>
              </w:rPr>
              <w:tab/>
              <w:t>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4)</w:t>
            </w:r>
            <w:r w:rsidRPr="00D07DDD">
              <w:rPr>
                <w:rFonts w:ascii="Times New Roman" w:hAnsi="Times New Roman" w:cs="Times New Roman"/>
                <w:sz w:val="24"/>
              </w:rPr>
              <w:tab/>
              <w:t>Кодекс Российской Федерации об административных правонарушениях;</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5)</w:t>
            </w:r>
            <w:r w:rsidRPr="00D07DDD">
              <w:rPr>
                <w:rFonts w:ascii="Times New Roman" w:hAnsi="Times New Roman" w:cs="Times New Roman"/>
                <w:sz w:val="24"/>
              </w:rPr>
              <w:tab/>
              <w:t>Градостроительный кодекс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6)</w:t>
            </w:r>
            <w:r w:rsidRPr="00D07DDD">
              <w:rPr>
                <w:rFonts w:ascii="Times New Roman" w:hAnsi="Times New Roman" w:cs="Times New Roman"/>
                <w:sz w:val="24"/>
              </w:rPr>
              <w:tab/>
              <w:t>Федеральный закон от 21 декабря 1994 г.№ 69-ФЗ «О пожарной безопасности»;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7)</w:t>
            </w:r>
            <w:r w:rsidRPr="00D07DDD">
              <w:rPr>
                <w:rFonts w:ascii="Times New Roman" w:hAnsi="Times New Roman" w:cs="Times New Roman"/>
                <w:sz w:val="24"/>
              </w:rPr>
              <w:tab/>
              <w:t>Федеральный закон от 30 марта 1999 г. № 52-ФЗ «О санитарно-эпидемиологическом благополучии населения»;</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8)</w:t>
            </w:r>
            <w:r w:rsidRPr="00D07DDD">
              <w:rPr>
                <w:rFonts w:ascii="Times New Roman" w:hAnsi="Times New Roman" w:cs="Times New Roman"/>
                <w:sz w:val="24"/>
              </w:rPr>
              <w:tab/>
              <w:t>Федеральный закон от 21 декабря 2021 г. № 414-ФЗ «Об общих принципах организации публичной власти в субъектах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9)</w:t>
            </w:r>
            <w:r w:rsidRPr="00D07DDD">
              <w:rPr>
                <w:rFonts w:ascii="Times New Roman" w:hAnsi="Times New Roman" w:cs="Times New Roman"/>
                <w:sz w:val="24"/>
              </w:rPr>
              <w:tab/>
              <w:t>Федеральный закон от 10 января 2002 г. № 7-ФЗ «Об охране окружающей среды»;</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lastRenderedPageBreak/>
              <w:t>2</w:t>
            </w:r>
            <w:r w:rsidRPr="00D07DDD">
              <w:rPr>
                <w:rFonts w:ascii="Times New Roman" w:hAnsi="Times New Roman" w:cs="Times New Roman"/>
                <w:sz w:val="24"/>
              </w:rPr>
              <w:t>0)</w:t>
            </w:r>
            <w:r w:rsidRPr="00D07DDD">
              <w:rPr>
                <w:rFonts w:ascii="Times New Roman" w:hAnsi="Times New Roman" w:cs="Times New Roman"/>
                <w:sz w:val="24"/>
              </w:rPr>
              <w:tab/>
            </w:r>
            <w:r>
              <w:rPr>
                <w:rFonts w:ascii="Times New Roman" w:hAnsi="Times New Roman" w:cs="Times New Roman"/>
                <w:sz w:val="24"/>
              </w:rPr>
              <w:t>Ф</w:t>
            </w:r>
            <w:r w:rsidRPr="00D07DDD">
              <w:rPr>
                <w:rFonts w:ascii="Times New Roman" w:hAnsi="Times New Roman" w:cs="Times New Roman"/>
                <w:sz w:val="24"/>
              </w:rPr>
              <w:t>едеральный закон от 1 декабря 2007 г. № 315-ФЗ «О саморегулируемых организациях»;</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2</w:t>
            </w:r>
            <w:r>
              <w:rPr>
                <w:rFonts w:ascii="Times New Roman" w:hAnsi="Times New Roman" w:cs="Times New Roman"/>
                <w:sz w:val="24"/>
              </w:rPr>
              <w:t>1</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22 июля 2008 г. № 123-ФЗ «Технический регламент о требованиях пожарной безопасности»;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22</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23</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24</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30 декабря 2009 г.№ 384-ФЗ «Технический регламент о безопасности зданий и сооружений»;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25</w:t>
            </w:r>
            <w:r w:rsidRPr="00D07DDD">
              <w:rPr>
                <w:rFonts w:ascii="Times New Roman" w:hAnsi="Times New Roman" w:cs="Times New Roman"/>
                <w:sz w:val="24"/>
              </w:rPr>
              <w:tab/>
              <w:t>Федеральный закон от 31 июля 2020 г. № 247-ФЗ «Об обязательных требованиях в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26</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12 января 1996 г. № 7-ФЗ «О некоммерческих организациях»;</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27</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03 июня 2006 г. № 74-ФЗ «Водный кодекс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28</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27 июля 2010 г. № 210-ФЗ «Об организации предоставления государственных и муниципальных услуг»;</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2</w:t>
            </w:r>
            <w:r>
              <w:rPr>
                <w:rFonts w:ascii="Times New Roman" w:hAnsi="Times New Roman" w:cs="Times New Roman"/>
                <w:sz w:val="24"/>
              </w:rPr>
              <w:t>9</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30)</w:t>
            </w:r>
            <w:r w:rsidRPr="00D07DDD">
              <w:rPr>
                <w:rFonts w:ascii="Times New Roman" w:hAnsi="Times New Roman" w:cs="Times New Roman"/>
                <w:sz w:val="24"/>
              </w:rPr>
              <w:tab/>
              <w:t>Постановление Правительства Российской Федерации от 19 ноября 2008 г. № 864 «О мерах по реализации Федерального закона от 22 июля 2008 г. № 148-ФЗ «О внесении изменений в Градостроительный кодекс Российской Федерации и отдельные законодательные акты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31</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32</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25 декабря 2013 г. № 1244 «Об антитеррористической защищенности объектов (территорий)»;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33</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34</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19 апреля 2016 г. № 325 «Об утверждении требований к антитеррористической защищенности объектов (территорий) Федеральной службы по экологическому, технологическому и атомному надзору и формы паспорта безопасности этих объектов (территорий)»;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35</w:t>
            </w:r>
            <w:r w:rsidRPr="00D07DDD">
              <w:rPr>
                <w:rFonts w:ascii="Times New Roman" w:hAnsi="Times New Roman" w:cs="Times New Roman"/>
                <w:sz w:val="24"/>
              </w:rPr>
              <w:t>)</w:t>
            </w:r>
            <w:r w:rsidRPr="00D07DDD">
              <w:rPr>
                <w:rFonts w:ascii="Times New Roman" w:hAnsi="Times New Roman" w:cs="Times New Roman"/>
                <w:sz w:val="24"/>
              </w:rPr>
              <w:tab/>
              <w:t xml:space="preserve">постановление Правительства Российской Федерации от 13 августа 1997 г. № 1009 «Об утверждении </w:t>
            </w:r>
            <w:proofErr w:type="gramStart"/>
            <w:r w:rsidRPr="00D07DDD">
              <w:rPr>
                <w:rFonts w:ascii="Times New Roman" w:hAnsi="Times New Roman" w:cs="Times New Roman"/>
                <w:sz w:val="24"/>
              </w:rPr>
              <w:t>правил подготовки нормативных правовых актов федеральных органов исполнительной власти</w:t>
            </w:r>
            <w:proofErr w:type="gramEnd"/>
            <w:r w:rsidRPr="00D07DDD">
              <w:rPr>
                <w:rFonts w:ascii="Times New Roman" w:hAnsi="Times New Roman" w:cs="Times New Roman"/>
                <w:sz w:val="24"/>
              </w:rPr>
              <w:t xml:space="preserve"> и их государственной регистрации»;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lastRenderedPageBreak/>
              <w:t>36</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37</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3</w:t>
            </w:r>
            <w:r>
              <w:rPr>
                <w:rFonts w:ascii="Times New Roman" w:hAnsi="Times New Roman" w:cs="Times New Roman"/>
                <w:sz w:val="24"/>
              </w:rPr>
              <w:t>8</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3</w:t>
            </w:r>
            <w:r>
              <w:rPr>
                <w:rFonts w:ascii="Times New Roman" w:hAnsi="Times New Roman" w:cs="Times New Roman"/>
                <w:sz w:val="24"/>
              </w:rPr>
              <w:t>9</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40</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41</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11 мая 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rsidR="00D07DDD" w:rsidRPr="00D07DDD" w:rsidRDefault="00D07DDD" w:rsidP="00217E3F">
            <w:pPr>
              <w:spacing w:after="0" w:line="240" w:lineRule="auto"/>
              <w:jc w:val="both"/>
              <w:rPr>
                <w:rFonts w:ascii="Times New Roman" w:hAnsi="Times New Roman" w:cs="Times New Roman"/>
                <w:sz w:val="24"/>
              </w:rPr>
            </w:pPr>
            <w:proofErr w:type="gramStart"/>
            <w:r>
              <w:rPr>
                <w:rFonts w:ascii="Times New Roman" w:hAnsi="Times New Roman" w:cs="Times New Roman"/>
                <w:sz w:val="24"/>
              </w:rPr>
              <w:t>42</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11 июля 2020 г.</w:t>
            </w:r>
            <w:r w:rsidR="00217E3F">
              <w:rPr>
                <w:rFonts w:ascii="Times New Roman" w:hAnsi="Times New Roman" w:cs="Times New Roman"/>
                <w:sz w:val="24"/>
              </w:rPr>
              <w:t xml:space="preserve"> </w:t>
            </w:r>
            <w:r w:rsidRPr="00D07DDD">
              <w:rPr>
                <w:rFonts w:ascii="Times New Roman" w:hAnsi="Times New Roman" w:cs="Times New Roman"/>
                <w:sz w:val="24"/>
              </w:rPr>
              <w:t>№ 1034 «О признании утратившими силу нормативных правовых актов и отдельных положений нормативных правовых актов Российской Федерации, об отмене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 федерального государственного надзора</w:t>
            </w:r>
            <w:proofErr w:type="gramEnd"/>
            <w:r w:rsidRPr="00D07DDD">
              <w:rPr>
                <w:rFonts w:ascii="Times New Roman" w:hAnsi="Times New Roman" w:cs="Times New Roman"/>
                <w:sz w:val="24"/>
              </w:rPr>
              <w:t xml:space="preserve"> в области защиты населения и территорий от чрезвычайных ситуаций природного и техногенного характера, государственного надзора за пользованием маломерными судами, базами (сооружениями) для их стоянок во внутренних водах и территориальном море Российской Федерации»;</w:t>
            </w:r>
          </w:p>
          <w:p w:rsidR="00D07DDD" w:rsidRPr="00D07DDD" w:rsidRDefault="00D07DDD" w:rsidP="00217E3F">
            <w:pPr>
              <w:spacing w:after="0" w:line="240" w:lineRule="auto"/>
              <w:jc w:val="both"/>
              <w:rPr>
                <w:rFonts w:ascii="Times New Roman" w:hAnsi="Times New Roman" w:cs="Times New Roman"/>
                <w:sz w:val="24"/>
              </w:rPr>
            </w:pPr>
            <w:proofErr w:type="gramStart"/>
            <w:r>
              <w:rPr>
                <w:rFonts w:ascii="Times New Roman" w:hAnsi="Times New Roman" w:cs="Times New Roman"/>
                <w:sz w:val="24"/>
              </w:rPr>
              <w:t>43</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24 июля 2020 № 1108 «О проведении на территории Российской Федерации эксперимента по досудебному обжалованию решений контрольного (надзорного) органа, действий (бездействия) его должностных лиц» (вместе с «Положением о проведении на территории Российской Федерации эксперимента по досудебному обжалованию решений контрольного (надзорного) органа, действий (бездействия) его должностных лиц»;</w:t>
            </w:r>
            <w:proofErr w:type="gramEnd"/>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44) </w:t>
            </w:r>
            <w:r w:rsidRPr="00D07DDD">
              <w:rPr>
                <w:rFonts w:ascii="Times New Roman" w:hAnsi="Times New Roman" w:cs="Times New Roman"/>
                <w:sz w:val="24"/>
              </w:rPr>
              <w:t>постановление Правительства РФ от 28 апреля 2021 г. № 663                             «Об утверждении перечня видов федерального государственного контроля (надзора),</w:t>
            </w:r>
            <w:r>
              <w:rPr>
                <w:rFonts w:ascii="Times New Roman" w:hAnsi="Times New Roman" w:cs="Times New Roman"/>
                <w:sz w:val="24"/>
              </w:rPr>
              <w:t xml:space="preserve"> </w:t>
            </w:r>
            <w:r w:rsidRPr="00D07DDD">
              <w:rPr>
                <w:rFonts w:ascii="Times New Roman" w:hAnsi="Times New Roman" w:cs="Times New Roman"/>
                <w:sz w:val="24"/>
              </w:rPr>
              <w:t>в отношении которых применяется обязательный досудебный порядок рассмотрения жалоб»;</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45</w:t>
            </w:r>
            <w:r w:rsidRPr="00D07DDD">
              <w:rPr>
                <w:rFonts w:ascii="Times New Roman" w:hAnsi="Times New Roman" w:cs="Times New Roman"/>
                <w:sz w:val="24"/>
              </w:rPr>
              <w:t>)</w:t>
            </w:r>
            <w:r w:rsidRPr="00D07DDD">
              <w:rPr>
                <w:rFonts w:ascii="Times New Roman" w:hAnsi="Times New Roman" w:cs="Times New Roman"/>
                <w:sz w:val="24"/>
              </w:rPr>
              <w:tab/>
              <w:t>статьи 5, 7, 8, 12 технического регламента Таможенного союза «О безопасности машин и оборудования» (</w:t>
            </w:r>
            <w:proofErr w:type="gramStart"/>
            <w:r w:rsidRPr="00D07DDD">
              <w:rPr>
                <w:rFonts w:ascii="Times New Roman" w:hAnsi="Times New Roman" w:cs="Times New Roman"/>
                <w:sz w:val="24"/>
              </w:rPr>
              <w:t>ТР</w:t>
            </w:r>
            <w:proofErr w:type="gramEnd"/>
            <w:r w:rsidRPr="00D07DDD">
              <w:rPr>
                <w:rFonts w:ascii="Times New Roman" w:hAnsi="Times New Roman" w:cs="Times New Roman"/>
                <w:sz w:val="24"/>
              </w:rPr>
              <w:t xml:space="preserve"> ТС 010/2011);</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3</w:t>
            </w:r>
            <w:r>
              <w:rPr>
                <w:rFonts w:ascii="Times New Roman" w:hAnsi="Times New Roman" w:cs="Times New Roman"/>
                <w:sz w:val="24"/>
              </w:rPr>
              <w:t>46</w:t>
            </w:r>
            <w:r w:rsidRPr="00D07DDD">
              <w:rPr>
                <w:rFonts w:ascii="Times New Roman" w:hAnsi="Times New Roman" w:cs="Times New Roman"/>
                <w:sz w:val="24"/>
              </w:rPr>
              <w:tab/>
              <w:t>приказ Ростехнадзора от 02 марта 2021 г. № 81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p>
          <w:p w:rsidR="00D07DDD" w:rsidRDefault="00D07DDD" w:rsidP="00217E3F">
            <w:pPr>
              <w:spacing w:after="0" w:line="240" w:lineRule="auto"/>
              <w:jc w:val="both"/>
              <w:rPr>
                <w:rFonts w:ascii="Times New Roman" w:hAnsi="Times New Roman" w:cs="Times New Roman"/>
                <w:sz w:val="24"/>
              </w:rPr>
            </w:pPr>
            <w:proofErr w:type="gramStart"/>
            <w:r>
              <w:rPr>
                <w:rFonts w:ascii="Times New Roman" w:hAnsi="Times New Roman" w:cs="Times New Roman"/>
                <w:sz w:val="24"/>
              </w:rPr>
              <w:t>47</w:t>
            </w:r>
            <w:r w:rsidRPr="00D07DDD">
              <w:rPr>
                <w:rFonts w:ascii="Times New Roman" w:hAnsi="Times New Roman" w:cs="Times New Roman"/>
                <w:sz w:val="24"/>
              </w:rPr>
              <w:t>)</w:t>
            </w:r>
            <w:r w:rsidRPr="00D07DDD">
              <w:rPr>
                <w:rFonts w:ascii="Times New Roman" w:hAnsi="Times New Roman" w:cs="Times New Roman"/>
                <w:sz w:val="24"/>
              </w:rPr>
              <w:tab/>
              <w:t>приказ Федеральной службы по экологическому, технологическому и атомному надзору от 21 января 2022  г. № 12 «Об утверждении перечня должностных лиц Ростехнадзора, ответственных за прием и рассмотрение жалоб, поступающих в рамках досудебного обжалования решений контрольного  (надзорного) органа, действий (бездействия) должностных лиц»- умение работать с информационно-коммуникационными сетями, в том числе сетью Интернет, работа в операционной системе, управление электронной почтой, работа в</w:t>
            </w:r>
            <w:proofErr w:type="gramEnd"/>
            <w:r w:rsidRPr="00D07DDD">
              <w:rPr>
                <w:rFonts w:ascii="Times New Roman" w:hAnsi="Times New Roman" w:cs="Times New Roman"/>
                <w:sz w:val="24"/>
              </w:rPr>
              <w:t xml:space="preserve"> текстовом </w:t>
            </w:r>
            <w:proofErr w:type="gramStart"/>
            <w:r w:rsidRPr="00D07DDD">
              <w:rPr>
                <w:rFonts w:ascii="Times New Roman" w:hAnsi="Times New Roman" w:cs="Times New Roman"/>
                <w:sz w:val="24"/>
              </w:rPr>
              <w:t>редакторе</w:t>
            </w:r>
            <w:proofErr w:type="gramEnd"/>
            <w:r w:rsidRPr="00D07DDD">
              <w:rPr>
                <w:rFonts w:ascii="Times New Roman" w:hAnsi="Times New Roman" w:cs="Times New Roman"/>
                <w:sz w:val="24"/>
              </w:rPr>
              <w:t>, работа с электронными таблицами, базами данных, подготовка презентаций, справочных материалов, использование графических объектов в элек</w:t>
            </w:r>
            <w:r w:rsidR="008F6509">
              <w:rPr>
                <w:rFonts w:ascii="Times New Roman" w:hAnsi="Times New Roman" w:cs="Times New Roman"/>
                <w:sz w:val="24"/>
              </w:rPr>
              <w:t>тронных документах.</w:t>
            </w:r>
          </w:p>
          <w:p w:rsidR="00D07DDD" w:rsidRPr="00BB3E33" w:rsidRDefault="00D07DDD" w:rsidP="00217E3F">
            <w:pPr>
              <w:spacing w:after="0" w:line="240" w:lineRule="auto"/>
              <w:jc w:val="both"/>
              <w:rPr>
                <w:rFonts w:ascii="Times New Roman" w:hAnsi="Times New Roman" w:cs="Times New Roman"/>
                <w:sz w:val="24"/>
              </w:rPr>
            </w:pPr>
          </w:p>
          <w:p w:rsidR="00BB3E33" w:rsidRPr="008F6509" w:rsidRDefault="00BB3E33" w:rsidP="00217E3F">
            <w:pPr>
              <w:spacing w:after="0" w:line="240" w:lineRule="auto"/>
              <w:jc w:val="both"/>
              <w:rPr>
                <w:rFonts w:ascii="Times New Roman" w:hAnsi="Times New Roman" w:cs="Times New Roman"/>
                <w:b/>
                <w:sz w:val="24"/>
              </w:rPr>
            </w:pPr>
            <w:hyperlink r:id="rId7" w:history="1">
              <w:r w:rsidRPr="008F6509">
                <w:rPr>
                  <w:rFonts w:ascii="Times New Roman" w:hAnsi="Times New Roman" w:cs="Times New Roman"/>
                  <w:b/>
                  <w:sz w:val="24"/>
                  <w:u w:val="single"/>
                </w:rPr>
                <w:t>Функциональные знания и умения</w:t>
              </w:r>
            </w:hyperlink>
            <w:r w:rsidR="008F6509" w:rsidRPr="008F6509">
              <w:rPr>
                <w:rFonts w:ascii="Times New Roman" w:hAnsi="Times New Roman" w:cs="Times New Roman"/>
                <w:b/>
                <w:sz w:val="24"/>
              </w:rPr>
              <w:t>:</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1) Принципы, методы, технологии и механизмы осуществления контроля (надзора);</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72B5A">
              <w:rPr>
                <w:rFonts w:ascii="Times New Roman" w:eastAsia="Times New Roman" w:hAnsi="Times New Roman" w:cs="Times New Roman"/>
                <w:sz w:val="24"/>
                <w:szCs w:val="24"/>
              </w:rPr>
              <w:t>Виды, назначение и технологии организации проверочных процедур;</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3) Понятие единого реестра проверок, единого реестра контрольных (надзорных) мероприятий, процедура его формирования;</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4) Институт предварительной проверки жалобы и иной информации, поступившей в контрольно-надзорный орган;</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5) Процедура организации проверки: порядок, этапы, инструменты проведения;</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6)  Ограничения при проведении проверочных процедур;</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7)  Меры, принимаемые по результатам проверки;</w:t>
            </w:r>
          </w:p>
          <w:p w:rsidR="008F6509" w:rsidRPr="00BB3E33" w:rsidRDefault="008F6509" w:rsidP="00217E3F">
            <w:pPr>
              <w:spacing w:after="0" w:line="240" w:lineRule="auto"/>
              <w:ind w:firstLine="141"/>
              <w:jc w:val="both"/>
              <w:rPr>
                <w:rFonts w:ascii="Times New Roman" w:hAnsi="Times New Roman" w:cs="Times New Roman"/>
                <w:sz w:val="24"/>
              </w:rPr>
            </w:pPr>
            <w:r w:rsidRPr="00272B5A">
              <w:rPr>
                <w:rFonts w:ascii="Times New Roman" w:eastAsia="Times New Roman" w:hAnsi="Times New Roman" w:cs="Times New Roman"/>
                <w:sz w:val="24"/>
                <w:szCs w:val="24"/>
              </w:rPr>
              <w:t>8) Основания проведения и особенности внеплановых проверок.</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lastRenderedPageBreak/>
              <w:t>Должностные обязанности</w:t>
            </w:r>
          </w:p>
        </w:tc>
        <w:tc>
          <w:tcPr>
            <w:tcW w:w="7229" w:type="dxa"/>
            <w:shd w:val="clear" w:color="auto" w:fill="FFFFFF"/>
            <w:tcMar>
              <w:top w:w="150" w:type="dxa"/>
              <w:left w:w="180" w:type="dxa"/>
              <w:bottom w:w="150" w:type="dxa"/>
              <w:right w:w="180" w:type="dxa"/>
            </w:tcMar>
            <w:hideMark/>
          </w:tcPr>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В соответствии с областью и видом профессиональной служебной деятельности: </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 проводить выездные проверки по месту нахождения объекта капитального строительства и (или) деятельности лица, осуществляющего строительство в следующих случаях:</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наступления события, предусмотренного программой проведения проверок, которое является основанием для проведения контрольного (надзорного) мероприятия, в том числе завершение строительства, реконструкции объекта капитального строительства;</w:t>
            </w:r>
          </w:p>
          <w:p w:rsidR="008F6509" w:rsidRPr="008F6509" w:rsidRDefault="008F6509" w:rsidP="00217E3F">
            <w:pPr>
              <w:spacing w:after="0" w:line="240" w:lineRule="auto"/>
              <w:ind w:firstLine="141"/>
              <w:jc w:val="both"/>
              <w:rPr>
                <w:rFonts w:ascii="Times New Roman" w:hAnsi="Times New Roman" w:cs="Times New Roman"/>
                <w:sz w:val="24"/>
              </w:rPr>
            </w:pPr>
            <w:proofErr w:type="gramStart"/>
            <w:r w:rsidRPr="008F6509">
              <w:rPr>
                <w:rFonts w:ascii="Times New Roman" w:hAnsi="Times New Roman" w:cs="Times New Roman"/>
                <w:sz w:val="24"/>
              </w:rPr>
              <w:t xml:space="preserve">наличия решения руководителя (заместителя руководителя) органа государственного строительного надзора о проведении </w:t>
            </w:r>
            <w:r w:rsidRPr="008F6509">
              <w:rPr>
                <w:rFonts w:ascii="Times New Roman" w:hAnsi="Times New Roman" w:cs="Times New Roman"/>
                <w:sz w:val="24"/>
              </w:rPr>
              <w:lastRenderedPageBreak/>
              <w:t>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F6509" w:rsidRPr="008F6509" w:rsidRDefault="008F6509" w:rsidP="00217E3F">
            <w:pPr>
              <w:spacing w:after="0" w:line="240" w:lineRule="auto"/>
              <w:ind w:firstLine="141"/>
              <w:jc w:val="both"/>
              <w:rPr>
                <w:rFonts w:ascii="Times New Roman" w:hAnsi="Times New Roman" w:cs="Times New Roman"/>
                <w:sz w:val="24"/>
              </w:rPr>
            </w:pPr>
            <w:proofErr w:type="gramStart"/>
            <w:r w:rsidRPr="008F6509">
              <w:rPr>
                <w:rFonts w:ascii="Times New Roman" w:hAnsi="Times New Roman" w:cs="Times New Roman"/>
                <w:sz w:val="24"/>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w:t>
            </w:r>
            <w:proofErr w:type="gramEnd"/>
            <w:r w:rsidRPr="008F6509">
              <w:rPr>
                <w:rFonts w:ascii="Times New Roman" w:hAnsi="Times New Roman" w:cs="Times New Roman"/>
                <w:sz w:val="24"/>
              </w:rPr>
              <w:t xml:space="preserve">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 при проведении проверок государственный инспектор отдела осуществляет следующие действия: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истребование и рассмотрение представленных застройщиком, заказчиком, лицом, осуществляющим строительство, материалов и документов, связанных с выполнением работ, а также применением строительных материалов;</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визуальный осмотр выполненных работ (включая отдельные выполненные работы, конструкции, материалы и изделия);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3) при визуальном осмотре государственный инспектор отдела должен проверить:</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соблюдение требований технических регламентов (норм и правил), иных нормативных актов и проектной документации, применительно к выполненным работам, входящим в предмет проверки;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соблюдение порядка проведения строительного контроля;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устранение выявленных ранее нарушений;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соблюдение запрета приступать к выполнению последующих работ, которые оказывают влияние на безопасность строительных конструкций, наличие актов об устранении нарушений;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4) при рассмотрении исполнительной документации государственный инспектор отдела должен проверить:</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акты освидетельствования работ, конструкций, участков сетей инженерно-технологического обеспечения, оказывающих влияние на безопасность, </w:t>
            </w:r>
            <w:proofErr w:type="gramStart"/>
            <w:r w:rsidRPr="008F6509">
              <w:rPr>
                <w:rFonts w:ascii="Times New Roman" w:hAnsi="Times New Roman" w:cs="Times New Roman"/>
                <w:sz w:val="24"/>
              </w:rPr>
              <w:t>контроль за</w:t>
            </w:r>
            <w:proofErr w:type="gramEnd"/>
            <w:r w:rsidRPr="008F6509">
              <w:rPr>
                <w:rFonts w:ascii="Times New Roman" w:hAnsi="Times New Roman" w:cs="Times New Roman"/>
                <w:sz w:val="24"/>
              </w:rPr>
              <w:t xml:space="preserve"> выполнением которых не может быть проведен после выполнения других работ;</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ведение общего и (или) специального журналов, в которых ведется учет выполненных работ;</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акты об устранении выявленных нарушений;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материалы проведения экспертиз, обследований, лабораторных и иных испытаний выполненных работ и (или) применяемых строительных материалов и изделий;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исполнение постановлений по делам об административных </w:t>
            </w:r>
            <w:r w:rsidRPr="008F6509">
              <w:rPr>
                <w:rFonts w:ascii="Times New Roman" w:hAnsi="Times New Roman" w:cs="Times New Roman"/>
                <w:sz w:val="24"/>
              </w:rPr>
              <w:lastRenderedPageBreak/>
              <w:t>правонарушениях (платежные документы, подтверждающие уплату штрафов);</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5) оформлять результаты проверки: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путем внесения записей в общий и (или) специальный журналы;</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составления акта проверки с указанием выявленных нарушений (в двух экземплярах) и выдачей предписания об устранении выявленных нарушений (в двух экземплярах). К акту о проведенной проверке прилагаются составленные либо полученные в процессе проверки документы (при их наличии). В предписании указывается вид нарушения, ссылка на технический регламент (нормы и правила), иной нормативный правовой акт, проектную документацию, </w:t>
            </w:r>
            <w:proofErr w:type="gramStart"/>
            <w:r w:rsidRPr="008F6509">
              <w:rPr>
                <w:rFonts w:ascii="Times New Roman" w:hAnsi="Times New Roman" w:cs="Times New Roman"/>
                <w:sz w:val="24"/>
              </w:rPr>
              <w:t>требования</w:t>
            </w:r>
            <w:proofErr w:type="gramEnd"/>
            <w:r w:rsidRPr="008F6509">
              <w:rPr>
                <w:rFonts w:ascii="Times New Roman" w:hAnsi="Times New Roman" w:cs="Times New Roman"/>
                <w:sz w:val="24"/>
              </w:rPr>
              <w:t xml:space="preserve"> которых нарушены, а также устанавливается срок устранения нарушений с учетом конструктивных и других особенностей объекта капитального строительства. Вторые экземпляры подшиваются в дело объекта;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6) при проведении проверки законченного строительством объекта капитального строительства государственный инспектор отдела обязан:</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провести визуальный осмотр построенного, реконструированного объекта капитального строительства в полном объеме, включая отдельные выполненные работы, примененные конструкции, материалы и изделия;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проверить устранение всех нарушений, выявленных при осуществлении государственного строительного надзора и проведении строительного контроля;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оформить акт проверки законченного строительством объекта капитального строительства;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по согласованию с руководством Управления в течение десяти дней составить в двух экземплярах и выдать заключение о соответствии построенного, реконструированного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или оформить решение об отказе в выдаче такого заключения. Решение об отказе в выдаче заключения о соответствии должно содержать обоснование причин такого отказа со ссылками на технический регламент (нормы и правила), иной нормативный правовой акт, проектную документацию;</w:t>
            </w:r>
          </w:p>
          <w:p w:rsidR="008F6509" w:rsidRPr="008F6509" w:rsidRDefault="008F6509" w:rsidP="00217E3F">
            <w:pPr>
              <w:spacing w:after="0" w:line="240" w:lineRule="auto"/>
              <w:ind w:firstLine="141"/>
              <w:jc w:val="both"/>
              <w:rPr>
                <w:rFonts w:ascii="Times New Roman" w:hAnsi="Times New Roman" w:cs="Times New Roman"/>
                <w:sz w:val="24"/>
              </w:rPr>
            </w:pPr>
            <w:proofErr w:type="gramStart"/>
            <w:r w:rsidRPr="008F6509">
              <w:rPr>
                <w:rFonts w:ascii="Times New Roman" w:hAnsi="Times New Roman" w:cs="Times New Roman"/>
                <w:sz w:val="24"/>
              </w:rPr>
              <w:t>направить заключение или решение об отказе в выдаче заключения на утверждение в Управление;</w:t>
            </w:r>
            <w:proofErr w:type="gramEnd"/>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7) прекращать осуществление федерального государственного строительного надзора без выдачи заключения о соответствии в случае внесения изменений в законодательные акты Российской Федерации или в проектную документацию объекта капитального строительства, исключающих основание для исполнения государственной функции по осуществлению федерального государственного строительного надзора при строительстве, реконструкции объекта капитального строительства;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8) прекращать осуществление федерального государственного строительного надзора без выдачи заключения о соответствии в случае заявления.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9) прекращать осуществление федерального государственного строительного надзора без выдачи заключения о соответствии в </w:t>
            </w:r>
            <w:r w:rsidRPr="008F6509">
              <w:rPr>
                <w:rFonts w:ascii="Times New Roman" w:hAnsi="Times New Roman" w:cs="Times New Roman"/>
                <w:sz w:val="24"/>
              </w:rPr>
              <w:lastRenderedPageBreak/>
              <w:t>случае вступивших в законную силу постановлений судов Российской Федерации, а также их законных распоряжений, требований;</w:t>
            </w:r>
          </w:p>
          <w:p w:rsidR="008F6509" w:rsidRPr="008F6509" w:rsidRDefault="008F6509" w:rsidP="00217E3F">
            <w:pPr>
              <w:spacing w:after="0" w:line="240" w:lineRule="auto"/>
              <w:ind w:firstLine="141"/>
              <w:jc w:val="both"/>
              <w:rPr>
                <w:rFonts w:ascii="Times New Roman" w:hAnsi="Times New Roman" w:cs="Times New Roman"/>
                <w:sz w:val="24"/>
              </w:rPr>
            </w:pPr>
            <w:proofErr w:type="gramStart"/>
            <w:r w:rsidRPr="008F6509">
              <w:rPr>
                <w:rFonts w:ascii="Times New Roman" w:hAnsi="Times New Roman" w:cs="Times New Roman"/>
                <w:sz w:val="24"/>
              </w:rPr>
              <w:t>10) в рамках государственного строительного надзора осуществлять федеральный государственный пожарный надзор, федеральный государственный санитарно-эпидемиологический надзор, государственный контроль за соответствием объекта капитального строительства требованиям в отношении его энергетической эффективности и требованиям в отношении его оснащенности приборами учета используемых энергетических ресурсов, а также, за исключением случаев, предусмотренных Градостроительным кодексом Российской Федерации (Федеральный закон от 29.12.2004 № 190 - ФЗ) государственный контроль в области охраны</w:t>
            </w:r>
            <w:proofErr w:type="gramEnd"/>
            <w:r w:rsidRPr="008F6509">
              <w:rPr>
                <w:rFonts w:ascii="Times New Roman" w:hAnsi="Times New Roman" w:cs="Times New Roman"/>
                <w:sz w:val="24"/>
              </w:rPr>
              <w:t xml:space="preserve"> окружающей среды (государственный экологический контроль);</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11) осуществлять плановые проверки соблюдения саморегулируемыми организациями в процессе осуществления деятельности обязательных требований, предъявляемых к саморегулируемым организациям и их деятельности законодательством Российской Федерации;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12) при осуществлении государственного строительного надзора, государственного надзора за деятельностью СРО в порядке, установленном законодательством Российской Федерации: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беспрепятственно по предъявлении служебного удостоверения и копии распоряжения руководителя (уполномоченного заместителя руководителя) Управления о назначении проверки посещать объекты капитального строительства, а так же здания и помещения, используемые саморегулируемой организацией при осуществлении своей деятельности, в целях проведения мероприятий по государственному надзору;</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запрашивать и получать все необходимые для достижения целей и задач проверки документы (информацию);</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составлять по результатам проведенных проверок акты, на основании которых давать предписания об устранении выявленных нарушений;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составлять протоколы об административных правонарушениях и применять меры обеспечения производства по делам об административных правонарушениях в порядке и случаях, предусмотренных законодательством Российской Федерации об административных правонарушениях;</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13) планировать свою деятельность. </w:t>
            </w:r>
            <w:proofErr w:type="gramStart"/>
            <w:r w:rsidRPr="008F6509">
              <w:rPr>
                <w:rFonts w:ascii="Times New Roman" w:hAnsi="Times New Roman" w:cs="Times New Roman"/>
                <w:sz w:val="24"/>
              </w:rPr>
              <w:t>Вести подготовку ежемесячной, квартальной, годовой и др. отчетности отдела по всем направлениям надзорной, разрешительной и т.д. деятельности, также иной отчетности и справочной информации по приказам, распоряжениям, письмам Центрального Аппарата и Управлений Ростехнадзора, Печорского управления Ростехнадзора;</w:t>
            </w:r>
            <w:proofErr w:type="gramEnd"/>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14) своевременно вносить информацию в ЦП «АИС Ростехнадзора» (Цифровая платформа «Автоматизированная </w:t>
            </w:r>
            <w:r w:rsidRPr="008F6509">
              <w:rPr>
                <w:rFonts w:ascii="Times New Roman" w:hAnsi="Times New Roman" w:cs="Times New Roman"/>
                <w:sz w:val="24"/>
              </w:rPr>
              <w:lastRenderedPageBreak/>
              <w:t>информационная система Ростехнадзора») и ЕРКНМ (Единый реестр контрольных (надзорных) мероприятий);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15) в рамках полномочий по досудебному обжалованию обеспечивать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16) своевременно и в полном объеме оказывать государственные услуги в соответствии с действующими административными регламентами;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17) участвовать в разработке технического, экономического, организационного и правового механизмов реализации государственной политики в установленной сфере деятельности;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18) по поручению начальника отдела, руководства Управления отстаивать позиции, защищать права и законные интересы Ростехнадзора в отношениях с другими органами государственной власти, в том числе в судебных инстанциях, правоохранительных и контрольных органах, а также в коллегиальных органах, к работе которых привлечен территориальный орган Ростехнадзора;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19) соблюдать требования законодательства;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20) готовить предложения об изменении действующих или отмене утративших силу приказов и других организационно-распорядительных документов, изданных в Управлении, при наличии к тому оснований;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21) планировать свою деятельность и вести необходимый учёт (отчётность) в установленном в системе Ростехнадзора порядке;</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22) поддерживать деловую связь, координировать свою деятельность с органами государственной власти и управления, а также другими органами государственного надзора и контроля;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23) непрерывно повышать свой профессиональный уровень, проявлять организованность в работе, точно и своевременно выполнять приказы, постановления, инструкции и другие нормативные и организационно-распорядительные акты Ростехнадзора, а также Приказы, Распоряжения и указания руководителя Управления;</w:t>
            </w:r>
          </w:p>
          <w:p w:rsidR="00BB3E33" w:rsidRPr="00BB3E33"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24) участвовать в пределах своей компетенции и полномочий в предупреждении, выявлении и пресечении террористической деятельности.</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lastRenderedPageBreak/>
              <w:t>Условия прохождения гражданской службы в должности</w:t>
            </w:r>
          </w:p>
        </w:tc>
        <w:tc>
          <w:tcPr>
            <w:tcW w:w="7229"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 пятидневная служебная неделя (выходные дни - суббота и воскресенье, нерабочие праздничные дни);</w:t>
            </w:r>
          </w:p>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 продолжительность ежегодного оплачиваемого отпуска устанавливается в соответствии со статьей 46 Федерального закона от 27.07.2004 г. № 79-ФЗ «О государственной гражданской службе Российской Федерации»;</w:t>
            </w:r>
          </w:p>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 минимальный размер денежного содержания</w:t>
            </w:r>
            <w:r w:rsidR="008F6509">
              <w:rPr>
                <w:rFonts w:ascii="Times New Roman" w:hAnsi="Times New Roman" w:cs="Times New Roman"/>
                <w:sz w:val="24"/>
              </w:rPr>
              <w:t xml:space="preserve">: </w:t>
            </w:r>
            <w:r w:rsidRPr="00BB3E33">
              <w:rPr>
                <w:rFonts w:ascii="Times New Roman" w:hAnsi="Times New Roman" w:cs="Times New Roman"/>
                <w:sz w:val="24"/>
              </w:rPr>
              <w:t xml:space="preserve"> </w:t>
            </w:r>
            <w:r w:rsidR="008F6509">
              <w:rPr>
                <w:rFonts w:ascii="Times New Roman" w:hAnsi="Times New Roman" w:cs="Times New Roman"/>
                <w:sz w:val="24"/>
              </w:rPr>
              <w:t>от</w:t>
            </w:r>
            <w:r w:rsidRPr="00BB3E33">
              <w:rPr>
                <w:rFonts w:ascii="Times New Roman" w:hAnsi="Times New Roman" w:cs="Times New Roman"/>
                <w:sz w:val="24"/>
              </w:rPr>
              <w:t xml:space="preserve"> 5</w:t>
            </w:r>
            <w:r w:rsidR="008F6509">
              <w:rPr>
                <w:rFonts w:ascii="Times New Roman" w:hAnsi="Times New Roman" w:cs="Times New Roman"/>
                <w:sz w:val="24"/>
              </w:rPr>
              <w:t>300</w:t>
            </w:r>
            <w:r w:rsidRPr="00BB3E33">
              <w:rPr>
                <w:rFonts w:ascii="Times New Roman" w:hAnsi="Times New Roman" w:cs="Times New Roman"/>
                <w:sz w:val="24"/>
              </w:rPr>
              <w:t xml:space="preserve">0,00 руб./мес. (без учета </w:t>
            </w:r>
            <w:r w:rsidR="008F6509" w:rsidRPr="008F6509">
              <w:rPr>
                <w:rFonts w:ascii="Times New Roman" w:hAnsi="Times New Roman" w:cs="Times New Roman"/>
                <w:sz w:val="24"/>
              </w:rPr>
              <w:t>месячного оклада</w:t>
            </w:r>
            <w:r w:rsidR="008F6509">
              <w:rPr>
                <w:rFonts w:ascii="Times New Roman" w:hAnsi="Times New Roman" w:cs="Times New Roman"/>
                <w:sz w:val="24"/>
              </w:rPr>
              <w:t xml:space="preserve"> </w:t>
            </w:r>
            <w:r w:rsidR="008F6509" w:rsidRPr="008F6509">
              <w:rPr>
                <w:rFonts w:ascii="Times New Roman" w:hAnsi="Times New Roman" w:cs="Times New Roman"/>
                <w:sz w:val="24"/>
              </w:rPr>
              <w:t>в соответствии с присвоенным классным чином</w:t>
            </w:r>
            <w:r w:rsidR="008F6509">
              <w:rPr>
                <w:rFonts w:ascii="Times New Roman" w:hAnsi="Times New Roman" w:cs="Times New Roman"/>
                <w:sz w:val="24"/>
              </w:rPr>
              <w:t xml:space="preserve"> </w:t>
            </w:r>
            <w:r w:rsidR="008F6509" w:rsidRPr="008F6509">
              <w:rPr>
                <w:rFonts w:ascii="Times New Roman" w:hAnsi="Times New Roman" w:cs="Times New Roman"/>
                <w:sz w:val="24"/>
              </w:rPr>
              <w:t>государственной гражданской службы Российской Федерации</w:t>
            </w:r>
            <w:r w:rsidRPr="00BB3E33">
              <w:rPr>
                <w:rFonts w:ascii="Times New Roman" w:hAnsi="Times New Roman" w:cs="Times New Roman"/>
                <w:sz w:val="24"/>
              </w:rPr>
              <w:t>)</w:t>
            </w:r>
            <w:r w:rsidR="008F6509">
              <w:rPr>
                <w:rFonts w:ascii="Times New Roman" w:hAnsi="Times New Roman" w:cs="Times New Roman"/>
                <w:sz w:val="24"/>
              </w:rPr>
              <w:t xml:space="preserve"> до 70000,00 руб./мес. (с учетом </w:t>
            </w:r>
            <w:r w:rsidR="008F6509" w:rsidRPr="008F6509">
              <w:rPr>
                <w:rFonts w:ascii="Times New Roman" w:hAnsi="Times New Roman" w:cs="Times New Roman"/>
                <w:sz w:val="24"/>
              </w:rPr>
              <w:t>месячного оклада</w:t>
            </w:r>
            <w:r w:rsidR="008F6509">
              <w:rPr>
                <w:rFonts w:ascii="Times New Roman" w:hAnsi="Times New Roman" w:cs="Times New Roman"/>
                <w:sz w:val="24"/>
              </w:rPr>
              <w:t xml:space="preserve"> </w:t>
            </w:r>
            <w:r w:rsidR="008F6509" w:rsidRPr="008F6509">
              <w:rPr>
                <w:rFonts w:ascii="Times New Roman" w:hAnsi="Times New Roman" w:cs="Times New Roman"/>
                <w:sz w:val="24"/>
              </w:rPr>
              <w:t>в соответствии с присвоенным классным чином</w:t>
            </w:r>
            <w:r w:rsidR="008F6509">
              <w:rPr>
                <w:rFonts w:ascii="Times New Roman" w:hAnsi="Times New Roman" w:cs="Times New Roman"/>
                <w:sz w:val="24"/>
              </w:rPr>
              <w:t xml:space="preserve"> </w:t>
            </w:r>
            <w:r w:rsidR="008F6509" w:rsidRPr="008F6509">
              <w:rPr>
                <w:rFonts w:ascii="Times New Roman" w:hAnsi="Times New Roman" w:cs="Times New Roman"/>
                <w:sz w:val="24"/>
              </w:rPr>
              <w:t>государственной гражданской службы Российской Федерации</w:t>
            </w:r>
            <w:r w:rsidR="008F6509" w:rsidRPr="00BB3E33">
              <w:rPr>
                <w:rFonts w:ascii="Times New Roman" w:hAnsi="Times New Roman" w:cs="Times New Roman"/>
                <w:sz w:val="24"/>
              </w:rPr>
              <w:t>)</w:t>
            </w:r>
            <w:r w:rsidR="008F6509">
              <w:rPr>
                <w:rFonts w:ascii="Times New Roman" w:hAnsi="Times New Roman" w:cs="Times New Roman"/>
                <w:sz w:val="24"/>
              </w:rPr>
              <w:t>.</w:t>
            </w:r>
          </w:p>
        </w:tc>
      </w:tr>
    </w:tbl>
    <w:p w:rsidR="00D96327" w:rsidRDefault="00D96327" w:rsidP="00BB3E33">
      <w:pPr>
        <w:jc w:val="both"/>
      </w:pPr>
      <w:bookmarkStart w:id="0" w:name="_GoBack"/>
      <w:bookmarkEnd w:id="0"/>
    </w:p>
    <w:sectPr w:rsidR="00D96327" w:rsidSect="00217E3F">
      <w:pgSz w:w="11906" w:h="16838"/>
      <w:pgMar w:top="1134" w:right="70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33"/>
    <w:rsid w:val="00217E3F"/>
    <w:rsid w:val="008F6509"/>
    <w:rsid w:val="00BB3E33"/>
    <w:rsid w:val="00D07DDD"/>
    <w:rsid w:val="00D96327"/>
    <w:rsid w:val="00E85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11400">
      <w:bodyDiv w:val="1"/>
      <w:marLeft w:val="0"/>
      <w:marRight w:val="0"/>
      <w:marTop w:val="0"/>
      <w:marBottom w:val="0"/>
      <w:divBdr>
        <w:top w:val="none" w:sz="0" w:space="0" w:color="auto"/>
        <w:left w:val="none" w:sz="0" w:space="0" w:color="auto"/>
        <w:bottom w:val="none" w:sz="0" w:space="0" w:color="auto"/>
        <w:right w:val="none" w:sz="0" w:space="0" w:color="auto"/>
      </w:divBdr>
    </w:div>
    <w:div w:id="910893387">
      <w:bodyDiv w:val="1"/>
      <w:marLeft w:val="0"/>
      <w:marRight w:val="0"/>
      <w:marTop w:val="0"/>
      <w:marBottom w:val="0"/>
      <w:divBdr>
        <w:top w:val="none" w:sz="0" w:space="0" w:color="auto"/>
        <w:left w:val="none" w:sz="0" w:space="0" w:color="auto"/>
        <w:bottom w:val="none" w:sz="0" w:space="0" w:color="auto"/>
        <w:right w:val="none" w:sz="0" w:space="0" w:color="auto"/>
      </w:divBdr>
    </w:div>
    <w:div w:id="17978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nadzor.ru/about_gosnadzor/rabota-v-rostekhnadzore/tsentralnyy-apparat/vakansii-tsa/glavnyy-gosudarstvennyy-inspektor-otdela-monitoringa-i-kontrolya-pri-realizatsii-infrastrukturnykh-p/funktsionalnye-znaniya-i-umeniya.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snadzor.ru/about_gosnadzor/rabota-v-rostekhnadzore/tsentralnyy-apparat/vakansii-tsa/glavnyy-gosudarstvennyy-inspektor-otdela-monitoringa-i-kontrolya-pri-realizatsii-infrastrukturnykh-p/professionalnye-znaniya-i-umeniya.php" TargetMode="External"/><Relationship Id="rId5" Type="http://schemas.openxmlformats.org/officeDocument/2006/relationships/hyperlink" Target="https://www.gosnadzor.ru/about_gosnadzor/rabota-v-rostekhnadzore/tsentralnyy-apparat/vakansii-tsa/glavnyy-gosudarstvennyy-inspektor-otdela-monitoringa-i-kontrolya-pri-realizatsii-infrastrukturnykh-p/bazovye-znaniya-i-umeniya.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3639</Words>
  <Characters>20746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Печорское управление Ростехнадзора</Company>
  <LinksUpToDate>false</LinksUpToDate>
  <CharactersWithSpaces>24337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U044</dc:creator>
  <cp:lastModifiedBy>U044</cp:lastModifiedBy>
  <cp:revision>4</cp:revision>
  <dcterms:created xsi:type="dcterms:W3CDTF">2025-09-22T12:19:00Z</dcterms:created>
  <dcterms:modified xsi:type="dcterms:W3CDTF">2025-09-22T12:38:00Z</dcterms:modified>
</cp:coreProperties>
</file>